
<file path=[Content_Types].xml><?xml version="1.0" encoding="utf-8"?>
<Types xmlns="http://schemas.openxmlformats.org/package/2006/content-types">
  <Default Extension="xml" ContentType="application/xml"/>
  <Default Extension="tif" ContentType="image/tiff"/>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8C2D9" w14:textId="77777777" w:rsidR="00747540" w:rsidRDefault="00747540" w:rsidP="006F332F">
      <w:pPr>
        <w:pStyle w:val="Heading1"/>
      </w:pPr>
    </w:p>
    <w:p w14:paraId="013D8AC2" w14:textId="5C2C510E" w:rsidR="000A4C81" w:rsidRPr="000A4C81" w:rsidRDefault="00B80EFF" w:rsidP="006F332F">
      <w:pPr>
        <w:pStyle w:val="Heading1"/>
      </w:pPr>
      <w:r>
        <w:t xml:space="preserve">Frequently Asked </w:t>
      </w:r>
      <w:r w:rsidR="003B77C6">
        <w:t>Q</w:t>
      </w:r>
      <w:r>
        <w:t>uestion</w:t>
      </w:r>
      <w:r w:rsidR="003B77C6">
        <w:t>s for Foreign Investment</w:t>
      </w:r>
    </w:p>
    <w:p w14:paraId="3100D8D1" w14:textId="163A6DAC" w:rsidR="00F24132" w:rsidRPr="00777DB9" w:rsidRDefault="00EC4EA2" w:rsidP="006F332F">
      <w:pPr>
        <w:pStyle w:val="Heading2"/>
        <w:rPr>
          <w:sz w:val="32"/>
          <w:szCs w:val="32"/>
        </w:rPr>
      </w:pPr>
      <w:r w:rsidRPr="00777DB9">
        <w:rPr>
          <w:sz w:val="32"/>
          <w:szCs w:val="32"/>
        </w:rPr>
        <w:t>FACTSHEET</w:t>
      </w:r>
      <w:r w:rsidR="003B77C6">
        <w:rPr>
          <w:sz w:val="32"/>
          <w:szCs w:val="32"/>
        </w:rPr>
        <w:t xml:space="preserve"> 2</w:t>
      </w:r>
    </w:p>
    <w:p w14:paraId="088AA771" w14:textId="77777777" w:rsidR="000A4C81" w:rsidRDefault="0077690A" w:rsidP="000A4C81">
      <w:pPr>
        <w:rPr>
          <w:rFonts w:cstheme="minorHAnsi"/>
          <w:b/>
          <w:color w:val="950C19"/>
          <w:sz w:val="24"/>
        </w:rPr>
      </w:pPr>
      <w:r>
        <w:rPr>
          <w:rFonts w:cstheme="minorHAnsi"/>
          <w:b/>
          <w:color w:val="950C19"/>
          <w:sz w:val="24"/>
        </w:rPr>
        <w:pict w14:anchorId="66846B53">
          <v:rect id="_x0000_i1025" style="width:468pt;height:2pt" o:hrpct="0" o:hralign="center" o:hrstd="t" o:hrnoshade="t" o:hr="t" fillcolor="#44b845" stroked="f"/>
        </w:pict>
      </w:r>
    </w:p>
    <w:p w14:paraId="32A9D836" w14:textId="77777777" w:rsidR="007607FF" w:rsidRDefault="007607FF" w:rsidP="0055475D">
      <w:pPr>
        <w:rPr>
          <w:rFonts w:cstheme="minorHAnsi"/>
          <w:szCs w:val="20"/>
        </w:rPr>
      </w:pPr>
    </w:p>
    <w:p w14:paraId="52BAC2E9" w14:textId="77777777" w:rsidR="00DD539E" w:rsidRDefault="00DD539E" w:rsidP="00DD539E"/>
    <w:p w14:paraId="61D450FE" w14:textId="77777777" w:rsidR="00DD539E" w:rsidRDefault="00DD539E" w:rsidP="00DD539E">
      <w:pPr>
        <w:pStyle w:val="ListParagraph"/>
        <w:widowControl/>
        <w:numPr>
          <w:ilvl w:val="0"/>
          <w:numId w:val="10"/>
        </w:numPr>
        <w:suppressAutoHyphens w:val="0"/>
        <w:spacing w:after="200" w:line="276" w:lineRule="auto"/>
        <w:rPr>
          <w:b/>
        </w:rPr>
      </w:pPr>
      <w:r>
        <w:rPr>
          <w:b/>
        </w:rPr>
        <w:t>Do I have to pay for the Certificate once my Foreign Investment is registered?</w:t>
      </w:r>
    </w:p>
    <w:p w14:paraId="2933F83E" w14:textId="43E88390" w:rsidR="00DD539E" w:rsidRDefault="00DD539E" w:rsidP="00DD539E">
      <w:r>
        <w:t xml:space="preserve">No. Once you have paid your initial registration fee, you may view and download/print your own certificate at any time, for free.  </w:t>
      </w:r>
    </w:p>
    <w:p w14:paraId="4A0C0287" w14:textId="77777777" w:rsidR="00DD539E" w:rsidRDefault="00DD539E" w:rsidP="00DD539E"/>
    <w:p w14:paraId="49C71F71" w14:textId="77777777" w:rsidR="00DD539E" w:rsidRDefault="00DD539E" w:rsidP="00DD539E">
      <w:pPr>
        <w:pStyle w:val="ListParagraph"/>
        <w:widowControl/>
        <w:numPr>
          <w:ilvl w:val="0"/>
          <w:numId w:val="10"/>
        </w:numPr>
        <w:suppressAutoHyphens w:val="0"/>
        <w:spacing w:after="200" w:line="276" w:lineRule="auto"/>
        <w:rPr>
          <w:b/>
        </w:rPr>
      </w:pPr>
      <w:r>
        <w:rPr>
          <w:b/>
        </w:rPr>
        <w:t>How long will it take to process the registration of a foreign investment?</w:t>
      </w:r>
    </w:p>
    <w:p w14:paraId="770DFF60" w14:textId="77777777" w:rsidR="00DD539E" w:rsidRDefault="00DD539E" w:rsidP="00DD539E">
      <w:r>
        <w:t>If you register a foreign investment online, we aim to complete the registration within three working days. Paper applications for registration may take up to two weeks.</w:t>
      </w:r>
    </w:p>
    <w:p w14:paraId="49C9DF5E" w14:textId="77777777" w:rsidR="00DD539E" w:rsidRDefault="00DD539E" w:rsidP="00DD539E"/>
    <w:p w14:paraId="6F0AF118" w14:textId="77777777" w:rsidR="00DD539E" w:rsidRPr="006D36BB" w:rsidRDefault="00DD539E" w:rsidP="00DD539E">
      <w:pPr>
        <w:pStyle w:val="ListParagraph"/>
        <w:widowControl/>
        <w:numPr>
          <w:ilvl w:val="0"/>
          <w:numId w:val="10"/>
        </w:numPr>
        <w:suppressAutoHyphens w:val="0"/>
        <w:spacing w:after="200" w:line="276" w:lineRule="auto"/>
        <w:rPr>
          <w:b/>
        </w:rPr>
      </w:pPr>
      <w:r w:rsidRPr="006D36BB">
        <w:rPr>
          <w:b/>
        </w:rPr>
        <w:t>Will my foreign investment information be visible to the public?</w:t>
      </w:r>
    </w:p>
    <w:p w14:paraId="11D0233A" w14:textId="77777777" w:rsidR="00DD539E" w:rsidRDefault="00DD539E" w:rsidP="00DD539E">
      <w:r w:rsidRPr="006D36BB">
        <w:t>Yes</w:t>
      </w:r>
      <w:r>
        <w:t>,</w:t>
      </w:r>
      <w:r w:rsidRPr="006D36BB">
        <w:t xml:space="preserve"> but only limited information. Public information about your registered foreign investment will be visible.  For foreign investment, this means such things as investor names and local representative contact details, main business sector and operating locations are on view. </w:t>
      </w:r>
      <w:r>
        <w:t xml:space="preserve"> Commercially sensitive information will remain private.</w:t>
      </w:r>
    </w:p>
    <w:p w14:paraId="608AE952" w14:textId="77777777" w:rsidR="00DD539E" w:rsidRPr="00ED1FC4" w:rsidRDefault="00DD539E" w:rsidP="00DD539E"/>
    <w:p w14:paraId="78E42522" w14:textId="77777777" w:rsidR="00DD539E" w:rsidRPr="006D36BB" w:rsidRDefault="00DD539E" w:rsidP="00DD539E">
      <w:pPr>
        <w:pStyle w:val="ListParagraph"/>
        <w:widowControl/>
        <w:numPr>
          <w:ilvl w:val="0"/>
          <w:numId w:val="10"/>
        </w:numPr>
        <w:suppressAutoHyphens w:val="0"/>
        <w:spacing w:after="200" w:line="276" w:lineRule="auto"/>
        <w:rPr>
          <w:b/>
        </w:rPr>
      </w:pPr>
      <w:r w:rsidRPr="006D36BB">
        <w:rPr>
          <w:b/>
        </w:rPr>
        <w:t>My foreign investment details have a spelling mistake or other discrepancies, what should I do?</w:t>
      </w:r>
    </w:p>
    <w:p w14:paraId="63718AFA" w14:textId="6299C29F" w:rsidR="00DD539E" w:rsidRDefault="00DD539E" w:rsidP="00DD539E">
      <w:r w:rsidRPr="006D36BB">
        <w:t>It is your responsibility to ensure the details of your foreign investment are correct on the register.  If there is an error you should amend the entity record through the proper filing.  However, if you feel an error has been made by the R</w:t>
      </w:r>
      <w:r>
        <w:t xml:space="preserve">egistry staff please contact </w:t>
      </w:r>
      <w:r w:rsidRPr="006D36BB">
        <w:t>InvestSolomons.</w:t>
      </w:r>
    </w:p>
    <w:p w14:paraId="4C25D644" w14:textId="77777777" w:rsidR="00DD539E" w:rsidRPr="00ED1FC4" w:rsidRDefault="00DD539E" w:rsidP="00DD539E"/>
    <w:p w14:paraId="15ED7BF4" w14:textId="77777777" w:rsidR="00DD539E" w:rsidRPr="0013411D" w:rsidRDefault="00DD539E" w:rsidP="00DD539E">
      <w:pPr>
        <w:pStyle w:val="ListParagraph"/>
        <w:widowControl/>
        <w:numPr>
          <w:ilvl w:val="0"/>
          <w:numId w:val="10"/>
        </w:numPr>
        <w:suppressAutoHyphens w:val="0"/>
        <w:spacing w:after="200" w:line="276" w:lineRule="auto"/>
        <w:rPr>
          <w:b/>
        </w:rPr>
      </w:pPr>
      <w:r w:rsidRPr="006D36BB">
        <w:rPr>
          <w:b/>
        </w:rPr>
        <w:t xml:space="preserve">Do I need to </w:t>
      </w:r>
      <w:r>
        <w:rPr>
          <w:b/>
        </w:rPr>
        <w:t>set up</w:t>
      </w:r>
      <w:r w:rsidRPr="006D36BB">
        <w:rPr>
          <w:b/>
        </w:rPr>
        <w:t xml:space="preserve"> an account to perform a business entity search?</w:t>
      </w:r>
    </w:p>
    <w:p w14:paraId="52B8FF07" w14:textId="77777777" w:rsidR="00DD539E" w:rsidRDefault="00DD539E" w:rsidP="00DD539E">
      <w:r w:rsidRPr="00844140">
        <w:t>No</w:t>
      </w:r>
      <w:r>
        <w:t xml:space="preserve">, you simply go to </w:t>
      </w:r>
      <w:hyperlink r:id="rId9" w:history="1">
        <w:r w:rsidRPr="00A47E82">
          <w:rPr>
            <w:rStyle w:val="Hyperlink"/>
          </w:rPr>
          <w:t>www.solomonbusinessregistry.gov.sb</w:t>
        </w:r>
      </w:hyperlink>
      <w:r>
        <w:t xml:space="preserve"> and do the search.</w:t>
      </w:r>
    </w:p>
    <w:p w14:paraId="3FCC3863" w14:textId="77777777" w:rsidR="00DD539E" w:rsidRPr="0013411D" w:rsidRDefault="00DD539E" w:rsidP="00DD539E"/>
    <w:p w14:paraId="1E1CA303" w14:textId="77777777" w:rsidR="00DD539E" w:rsidRDefault="00DD539E" w:rsidP="00DD539E">
      <w:pPr>
        <w:pStyle w:val="ListParagraph"/>
        <w:widowControl/>
        <w:numPr>
          <w:ilvl w:val="0"/>
          <w:numId w:val="10"/>
        </w:numPr>
        <w:suppressAutoHyphens w:val="0"/>
        <w:spacing w:after="200" w:line="276" w:lineRule="auto"/>
        <w:rPr>
          <w:b/>
        </w:rPr>
      </w:pPr>
      <w:r>
        <w:rPr>
          <w:b/>
        </w:rPr>
        <w:t>I noticed my Foreign Investment details are not complete e.g. owner details are missing. Can I update the details online and is there a cost?</w:t>
      </w:r>
    </w:p>
    <w:p w14:paraId="4BA65A0B" w14:textId="77777777" w:rsidR="00DD539E" w:rsidRDefault="00DD539E" w:rsidP="00DD539E">
      <w:r>
        <w:t xml:space="preserve">Yes, you can update these details online. To do this, you need to ‘request authority’ to maintain/update the foreign investment details. This is an easy process and more details are available on </w:t>
      </w:r>
      <w:hyperlink r:id="rId10" w:history="1">
        <w:r>
          <w:rPr>
            <w:rStyle w:val="Hyperlink"/>
            <w:rFonts w:eastAsiaTheme="majorEastAsia"/>
          </w:rPr>
          <w:t>www.solomonbusinessregistry.gov.sb</w:t>
        </w:r>
      </w:hyperlink>
      <w:r>
        <w:t xml:space="preserve">.  </w:t>
      </w:r>
    </w:p>
    <w:p w14:paraId="189BF3A7" w14:textId="77777777" w:rsidR="00DD539E" w:rsidRDefault="00DD539E" w:rsidP="00DD539E"/>
    <w:p w14:paraId="47D93B6D" w14:textId="77777777" w:rsidR="00DD539E" w:rsidRDefault="00DD539E" w:rsidP="00DD539E">
      <w:r>
        <w:t xml:space="preserve">There is </w:t>
      </w:r>
      <w:r w:rsidRPr="00463BA8">
        <w:rPr>
          <w:b/>
        </w:rPr>
        <w:t>no fee</w:t>
      </w:r>
      <w:r>
        <w:t xml:space="preserve"> for updating business name details until 22 May 2017. After that date, a fee will be payable for the ‘Change Registration Details’ service. All clients are encouraged to update their details before this date.</w:t>
      </w:r>
    </w:p>
    <w:p w14:paraId="31DEFE4C" w14:textId="77777777" w:rsidR="00DD539E" w:rsidRDefault="00DD539E" w:rsidP="00DD539E"/>
    <w:p w14:paraId="73C99FDC" w14:textId="77777777" w:rsidR="00DD539E" w:rsidRDefault="00DD539E" w:rsidP="00DD539E">
      <w:pPr>
        <w:pStyle w:val="ListParagraph"/>
        <w:widowControl/>
        <w:numPr>
          <w:ilvl w:val="0"/>
          <w:numId w:val="10"/>
        </w:numPr>
        <w:suppressAutoHyphens w:val="0"/>
        <w:spacing w:after="200" w:line="276" w:lineRule="auto"/>
        <w:rPr>
          <w:b/>
        </w:rPr>
      </w:pPr>
      <w:r>
        <w:rPr>
          <w:b/>
        </w:rPr>
        <w:t xml:space="preserve">I can’t use a computer, what should I do? </w:t>
      </w:r>
    </w:p>
    <w:p w14:paraId="19069DE8" w14:textId="77777777" w:rsidR="00DD539E" w:rsidRPr="00291D51" w:rsidRDefault="00DD539E" w:rsidP="00DD539E">
      <w:r>
        <w:t>Clients may come to InvestSolomons and use the computer kiosk there, with assistance from InvestSolomons staff. Please be aware you may need to wait for staff to be available.  Otherwise, you can complete the paper form, a copy of which is available at InvestSolomons.</w:t>
      </w:r>
    </w:p>
    <w:p w14:paraId="3B64289C" w14:textId="77777777" w:rsidR="00DD539E" w:rsidRDefault="00DD539E" w:rsidP="00DD539E">
      <w:pPr>
        <w:pStyle w:val="Heading2"/>
      </w:pPr>
    </w:p>
    <w:p w14:paraId="2DE47ECF" w14:textId="77777777" w:rsidR="00DD539E" w:rsidRPr="00DD539E" w:rsidRDefault="00DD539E" w:rsidP="00DD539E">
      <w:pPr>
        <w:pStyle w:val="Heading2"/>
      </w:pPr>
      <w:r w:rsidRPr="00DD539E">
        <w:t>General Information</w:t>
      </w:r>
    </w:p>
    <w:p w14:paraId="31E1A783" w14:textId="77777777" w:rsidR="00DD539E" w:rsidRPr="00ED1FC4" w:rsidRDefault="00DD539E" w:rsidP="00DD539E"/>
    <w:p w14:paraId="38E41E0A" w14:textId="56EC0C14" w:rsidR="00DD539E" w:rsidRPr="006D36BB" w:rsidRDefault="00DD539E" w:rsidP="00DD539E">
      <w:pPr>
        <w:pStyle w:val="ListParagraph"/>
        <w:widowControl/>
        <w:numPr>
          <w:ilvl w:val="0"/>
          <w:numId w:val="10"/>
        </w:numPr>
        <w:suppressAutoHyphens w:val="0"/>
        <w:spacing w:after="200" w:line="276" w:lineRule="auto"/>
        <w:rPr>
          <w:b/>
        </w:rPr>
      </w:pPr>
      <w:r>
        <w:rPr>
          <w:b/>
        </w:rPr>
        <w:t xml:space="preserve">I cannot </w:t>
      </w:r>
      <w:r w:rsidRPr="006D36BB">
        <w:rPr>
          <w:b/>
        </w:rPr>
        <w:t>view some documents on the website–what should I do?</w:t>
      </w:r>
    </w:p>
    <w:p w14:paraId="22612A1F" w14:textId="77777777" w:rsidR="00DD539E" w:rsidRDefault="00DD539E" w:rsidP="00DD539E">
      <w:pPr>
        <w:rPr>
          <w:b/>
        </w:rPr>
      </w:pPr>
      <w:r w:rsidRPr="006D36BB">
        <w:t xml:space="preserve">Your internet browser may have pop-up blockers turned on.  You will need to either turn them off or allow </w:t>
      </w:r>
      <w:r w:rsidRPr="006D36BB">
        <w:lastRenderedPageBreak/>
        <w:t>pop-ups for this site.  Otherwise, you may have difficulty viewing certificates and extracts produced by the system</w:t>
      </w:r>
      <w:r w:rsidRPr="00E46AAD">
        <w:rPr>
          <w:b/>
        </w:rPr>
        <w:t>.</w:t>
      </w:r>
    </w:p>
    <w:p w14:paraId="3898419E" w14:textId="77777777" w:rsidR="00DD539E" w:rsidRPr="0013411D" w:rsidRDefault="00DD539E" w:rsidP="00DD539E">
      <w:pPr>
        <w:rPr>
          <w:b/>
        </w:rPr>
      </w:pPr>
    </w:p>
    <w:p w14:paraId="04999B7E" w14:textId="77777777" w:rsidR="00DD539E" w:rsidRDefault="00DD539E" w:rsidP="00DD539E">
      <w:pPr>
        <w:pStyle w:val="ListParagraph"/>
        <w:widowControl/>
        <w:numPr>
          <w:ilvl w:val="0"/>
          <w:numId w:val="10"/>
        </w:numPr>
        <w:suppressAutoHyphens w:val="0"/>
        <w:spacing w:after="200" w:line="276" w:lineRule="auto"/>
        <w:rPr>
          <w:b/>
        </w:rPr>
      </w:pPr>
      <w:r>
        <w:rPr>
          <w:b/>
        </w:rPr>
        <w:t>I have lost my password. What do I do?</w:t>
      </w:r>
    </w:p>
    <w:p w14:paraId="13EED50B" w14:textId="77777777" w:rsidR="00DD539E" w:rsidRDefault="00DD539E" w:rsidP="00DD539E">
      <w:r>
        <w:t>Please go to the main logon page, and click the link that displays ‘Forgot password’, enter your e-mail address and click ‘Submit’. You will be sent an email to the nominated email address with an activation code to reset your password.</w:t>
      </w:r>
    </w:p>
    <w:p w14:paraId="441A28E2" w14:textId="77777777" w:rsidR="00DD539E" w:rsidRPr="0013411D" w:rsidRDefault="00DD539E" w:rsidP="00DD539E"/>
    <w:p w14:paraId="4C6FB72D" w14:textId="77777777" w:rsidR="00DD539E" w:rsidRDefault="00DD539E" w:rsidP="00DD539E">
      <w:pPr>
        <w:pStyle w:val="ListParagraph"/>
        <w:widowControl/>
        <w:numPr>
          <w:ilvl w:val="0"/>
          <w:numId w:val="10"/>
        </w:numPr>
        <w:suppressAutoHyphens w:val="0"/>
        <w:spacing w:after="200" w:line="276" w:lineRule="auto"/>
        <w:rPr>
          <w:b/>
        </w:rPr>
      </w:pPr>
      <w:r>
        <w:rPr>
          <w:b/>
        </w:rPr>
        <w:t>I had the old forms prepared prior to the system going live. Can I still use the old forms?</w:t>
      </w:r>
    </w:p>
    <w:p w14:paraId="74D30B51" w14:textId="77777777" w:rsidR="00DD539E" w:rsidRDefault="00DD539E" w:rsidP="00DD539E">
      <w:r>
        <w:t>We encourage all clients to complete their registration online. If clients come to the office to register using paper forms, they will be asked to complete the new forms.  Alternatively, they may start their registration online.</w:t>
      </w:r>
    </w:p>
    <w:p w14:paraId="3A9F41D0" w14:textId="77777777" w:rsidR="00DD539E" w:rsidRDefault="00DD539E" w:rsidP="00DD539E"/>
    <w:p w14:paraId="5F6617B0" w14:textId="77777777" w:rsidR="00DD539E" w:rsidRDefault="00DD539E" w:rsidP="00DD539E">
      <w:pPr>
        <w:pStyle w:val="ListParagraph"/>
        <w:widowControl/>
        <w:numPr>
          <w:ilvl w:val="0"/>
          <w:numId w:val="10"/>
        </w:numPr>
        <w:suppressAutoHyphens w:val="0"/>
        <w:spacing w:after="200" w:line="276" w:lineRule="auto"/>
        <w:rPr>
          <w:b/>
        </w:rPr>
      </w:pPr>
      <w:r>
        <w:rPr>
          <w:b/>
        </w:rPr>
        <w:t>I paid the old fee at Treasury last week and have a receipt. Do I need to pay the new fee?</w:t>
      </w:r>
    </w:p>
    <w:p w14:paraId="142DF332" w14:textId="098862CF" w:rsidR="008770A6" w:rsidRDefault="008770A6" w:rsidP="0077690A">
      <w:bookmarkStart w:id="0" w:name="_GoBack"/>
      <w:bookmarkEnd w:id="0"/>
      <w:r>
        <w:t xml:space="preserve">If you paid the old fee </w:t>
      </w:r>
      <w:r w:rsidRPr="008051E9">
        <w:t xml:space="preserve">prior to </w:t>
      </w:r>
      <w:r>
        <w:t xml:space="preserve">22 November 2016 we will accept the old fee payment provided you bring paper forms directly to </w:t>
      </w:r>
      <w:r>
        <w:t>InvestSolomons</w:t>
      </w:r>
      <w:r w:rsidRPr="008051E9">
        <w:t xml:space="preserve">. If you </w:t>
      </w:r>
      <w:r>
        <w:t xml:space="preserve">register online, </w:t>
      </w:r>
      <w:r w:rsidRPr="008051E9">
        <w:t>you will be charged the new fee.</w:t>
      </w:r>
      <w:r>
        <w:t xml:space="preserve"> </w:t>
      </w:r>
    </w:p>
    <w:p w14:paraId="0AACAEFE" w14:textId="77777777" w:rsidR="00DD539E" w:rsidRDefault="00DD539E" w:rsidP="00DD539E"/>
    <w:p w14:paraId="3B90161E" w14:textId="77777777" w:rsidR="00DD539E" w:rsidRPr="00BC7136" w:rsidRDefault="00DD539E" w:rsidP="00DD539E">
      <w:pPr>
        <w:pStyle w:val="ListParagraph"/>
        <w:widowControl/>
        <w:numPr>
          <w:ilvl w:val="0"/>
          <w:numId w:val="9"/>
        </w:numPr>
        <w:suppressAutoHyphens w:val="0"/>
        <w:spacing w:after="200" w:line="276" w:lineRule="auto"/>
        <w:rPr>
          <w:b/>
        </w:rPr>
      </w:pPr>
      <w:r w:rsidRPr="00BC7136">
        <w:rPr>
          <w:b/>
        </w:rPr>
        <w:t>Do I need an email address to use your online services?</w:t>
      </w:r>
    </w:p>
    <w:p w14:paraId="21AD5D09" w14:textId="77777777" w:rsidR="00DD539E" w:rsidRDefault="00DD539E" w:rsidP="00DD539E">
      <w:r>
        <w:t xml:space="preserve">Yes, you must have an email address to use online services (other than for searching).  You can easily set up a new email address for free on services such as </w:t>
      </w:r>
      <w:hyperlink r:id="rId11" w:history="1">
        <w:r w:rsidRPr="00A47E82">
          <w:rPr>
            <w:rStyle w:val="Hyperlink"/>
          </w:rPr>
          <w:t>www.gmail.com</w:t>
        </w:r>
      </w:hyperlink>
      <w:r>
        <w:t xml:space="preserve"> and </w:t>
      </w:r>
      <w:hyperlink r:id="rId12" w:history="1">
        <w:r w:rsidRPr="00A47E82">
          <w:rPr>
            <w:rStyle w:val="Hyperlink"/>
          </w:rPr>
          <w:t>www.hotmail.com</w:t>
        </w:r>
      </w:hyperlink>
      <w:r>
        <w:t xml:space="preserve">. </w:t>
      </w:r>
    </w:p>
    <w:p w14:paraId="1DC2055E" w14:textId="77777777" w:rsidR="00DD539E" w:rsidRDefault="00DD539E" w:rsidP="00DD539E"/>
    <w:p w14:paraId="12D6D779" w14:textId="77777777" w:rsidR="00DD539E" w:rsidRDefault="00DD539E" w:rsidP="00DD539E">
      <w:pPr>
        <w:pStyle w:val="ListParagraph"/>
        <w:widowControl/>
        <w:numPr>
          <w:ilvl w:val="0"/>
          <w:numId w:val="10"/>
        </w:numPr>
        <w:suppressAutoHyphens w:val="0"/>
        <w:spacing w:after="200" w:line="276" w:lineRule="auto"/>
        <w:rPr>
          <w:b/>
        </w:rPr>
      </w:pPr>
      <w:r>
        <w:rPr>
          <w:b/>
        </w:rPr>
        <w:t>What are the payments options available online?</w:t>
      </w:r>
    </w:p>
    <w:p w14:paraId="5714EF15" w14:textId="39699D3D" w:rsidR="00DD539E" w:rsidRDefault="00DD539E" w:rsidP="00DD539E">
      <w:r>
        <w:t>All payments to government in Solomon Islands continue to be made at the Ministry of Finance and Treasury. Clients must pay their fee at the revenue counter, then take their receipt to Company Haus so that a deposit account can be set up and topped up. This will enable client</w:t>
      </w:r>
      <w:r w:rsidR="008F33C3">
        <w:t>s to make payments for any lodg</w:t>
      </w:r>
      <w:r>
        <w:t>ments online. If you put extra money into the account, it will stay in your account until you use it for another service.</w:t>
      </w:r>
    </w:p>
    <w:p w14:paraId="37549861" w14:textId="77777777" w:rsidR="00DD539E" w:rsidRDefault="00DD539E" w:rsidP="00DD539E"/>
    <w:p w14:paraId="5924E653" w14:textId="77777777" w:rsidR="00DD539E" w:rsidRDefault="00DD539E" w:rsidP="00DD539E">
      <w:pPr>
        <w:pStyle w:val="ListParagraph"/>
        <w:widowControl/>
        <w:numPr>
          <w:ilvl w:val="0"/>
          <w:numId w:val="10"/>
        </w:numPr>
        <w:suppressAutoHyphens w:val="0"/>
        <w:spacing w:after="200" w:line="276" w:lineRule="auto"/>
        <w:rPr>
          <w:b/>
        </w:rPr>
      </w:pPr>
      <w:r>
        <w:rPr>
          <w:b/>
        </w:rPr>
        <w:t>Will my business information be visible to the public?</w:t>
      </w:r>
    </w:p>
    <w:p w14:paraId="098C021F" w14:textId="06E2D063" w:rsidR="00DD539E" w:rsidRDefault="00DD539E" w:rsidP="00DD539E">
      <w:r>
        <w:t xml:space="preserve">Certain information about your registered entity will be visible to the public, as it has been on Company Haus since 2010.  For companies, this includes details such as director names, business address and registered office address. For business names, owner names and the business address will be publicly viewable. Commercially sensitive information will not be available to the public. </w:t>
      </w:r>
    </w:p>
    <w:p w14:paraId="5B3A1DD3" w14:textId="77777777" w:rsidR="00DD539E" w:rsidRDefault="00DD539E" w:rsidP="00DD539E"/>
    <w:p w14:paraId="003FDC2D" w14:textId="77777777" w:rsidR="00CC3D6F" w:rsidRDefault="00CC3D6F" w:rsidP="00CC3D6F">
      <w:pPr>
        <w:pStyle w:val="Heading2"/>
      </w:pPr>
    </w:p>
    <w:p w14:paraId="2CEE6252" w14:textId="77777777" w:rsidR="00CC3D6F" w:rsidRDefault="00CC3D6F" w:rsidP="00CC3D6F">
      <w:pPr>
        <w:pStyle w:val="Heading2"/>
      </w:pPr>
    </w:p>
    <w:p w14:paraId="503EB191" w14:textId="77777777" w:rsidR="00CC3D6F" w:rsidRDefault="00CC3D6F" w:rsidP="00CC3D6F">
      <w:pPr>
        <w:pStyle w:val="Heading2"/>
      </w:pPr>
    </w:p>
    <w:p w14:paraId="102EDE5F" w14:textId="77777777" w:rsidR="00CC3D6F" w:rsidRDefault="00CC3D6F" w:rsidP="00CC3D6F">
      <w:pPr>
        <w:pStyle w:val="Heading2"/>
      </w:pPr>
    </w:p>
    <w:p w14:paraId="71159C0E" w14:textId="77777777" w:rsidR="00CC3D6F" w:rsidRDefault="00CC3D6F" w:rsidP="00CC3D6F">
      <w:pPr>
        <w:pStyle w:val="Heading2"/>
      </w:pPr>
    </w:p>
    <w:p w14:paraId="6510B21B" w14:textId="77777777" w:rsidR="00CC3D6F" w:rsidRDefault="00CC3D6F" w:rsidP="00CC3D6F">
      <w:pPr>
        <w:pStyle w:val="Heading2"/>
      </w:pPr>
    </w:p>
    <w:p w14:paraId="4C8D9ABD" w14:textId="77777777" w:rsidR="00CC3D6F" w:rsidRDefault="00CC3D6F" w:rsidP="00CC3D6F">
      <w:pPr>
        <w:pStyle w:val="Heading2"/>
      </w:pPr>
    </w:p>
    <w:p w14:paraId="6F7611D5" w14:textId="77777777" w:rsidR="00CC3D6F" w:rsidRDefault="00CC3D6F" w:rsidP="00CC3D6F">
      <w:pPr>
        <w:pStyle w:val="Heading2"/>
      </w:pPr>
    </w:p>
    <w:p w14:paraId="1F971C08" w14:textId="77777777" w:rsidR="00CC3D6F" w:rsidRDefault="00CC3D6F" w:rsidP="00CC3D6F">
      <w:pPr>
        <w:pStyle w:val="Heading2"/>
      </w:pPr>
    </w:p>
    <w:p w14:paraId="031B17EE" w14:textId="77777777" w:rsidR="00CC3D6F" w:rsidRDefault="00CC3D6F" w:rsidP="00CC3D6F">
      <w:pPr>
        <w:pStyle w:val="Heading2"/>
      </w:pPr>
    </w:p>
    <w:p w14:paraId="4171C1B4" w14:textId="77777777" w:rsidR="00CC3D6F" w:rsidRDefault="00CC3D6F" w:rsidP="00CC3D6F">
      <w:pPr>
        <w:pStyle w:val="Heading2"/>
      </w:pPr>
    </w:p>
    <w:p w14:paraId="4420F1BB" w14:textId="77777777" w:rsidR="00CC3D6F" w:rsidRDefault="00CC3D6F" w:rsidP="00CC3D6F">
      <w:pPr>
        <w:pStyle w:val="Heading2"/>
      </w:pPr>
    </w:p>
    <w:p w14:paraId="3EE66D86" w14:textId="77777777" w:rsidR="00CC3D6F" w:rsidRDefault="00CC3D6F" w:rsidP="00CC3D6F">
      <w:pPr>
        <w:pStyle w:val="Heading2"/>
      </w:pPr>
    </w:p>
    <w:p w14:paraId="2904784F" w14:textId="77777777" w:rsidR="00CC3D6F" w:rsidRDefault="00CC3D6F" w:rsidP="00CC3D6F">
      <w:pPr>
        <w:pStyle w:val="Heading2"/>
      </w:pPr>
    </w:p>
    <w:p w14:paraId="2B88453E" w14:textId="77777777" w:rsidR="00CC3D6F" w:rsidRDefault="00CC3D6F" w:rsidP="00CC3D6F">
      <w:pPr>
        <w:pStyle w:val="Heading2"/>
      </w:pPr>
    </w:p>
    <w:p w14:paraId="25D52D7F" w14:textId="77777777" w:rsidR="00CC3D6F" w:rsidRDefault="00CC3D6F" w:rsidP="00CC3D6F">
      <w:pPr>
        <w:pStyle w:val="Heading2"/>
      </w:pPr>
    </w:p>
    <w:p w14:paraId="7E3F3008" w14:textId="77777777" w:rsidR="00CC3D6F" w:rsidRDefault="00CC3D6F" w:rsidP="00CC3D6F">
      <w:pPr>
        <w:pStyle w:val="Heading2"/>
      </w:pPr>
    </w:p>
    <w:p w14:paraId="5922AD5F" w14:textId="77777777" w:rsidR="00CC3D6F" w:rsidRDefault="00CC3D6F" w:rsidP="00CC3D6F">
      <w:pPr>
        <w:pStyle w:val="Heading2"/>
      </w:pPr>
    </w:p>
    <w:p w14:paraId="22620921" w14:textId="77777777" w:rsidR="00CC3D6F" w:rsidRDefault="00CC3D6F" w:rsidP="00CC3D6F">
      <w:pPr>
        <w:pStyle w:val="Heading2"/>
      </w:pPr>
    </w:p>
    <w:p w14:paraId="2604F4E2" w14:textId="77777777" w:rsidR="00CC3D6F" w:rsidRDefault="00CC3D6F" w:rsidP="00CC3D6F">
      <w:pPr>
        <w:pStyle w:val="Heading2"/>
      </w:pPr>
    </w:p>
    <w:p w14:paraId="2837AC4C" w14:textId="77777777" w:rsidR="00CC3D6F" w:rsidRPr="00CC3D6F" w:rsidRDefault="00CC3D6F" w:rsidP="00CC3D6F">
      <w:pPr>
        <w:pStyle w:val="Heading2"/>
      </w:pPr>
      <w:r w:rsidRPr="00CC3D6F">
        <w:t>Fees</w:t>
      </w:r>
    </w:p>
    <w:p w14:paraId="7AD9ACDB" w14:textId="77777777" w:rsidR="00CC3D6F" w:rsidRDefault="00CC3D6F" w:rsidP="00CC3D6F"/>
    <w:p w14:paraId="0BC9582E" w14:textId="77777777" w:rsidR="00CC3D6F" w:rsidRDefault="00CC3D6F" w:rsidP="00CC3D6F">
      <w:pPr>
        <w:pStyle w:val="ListParagraph"/>
        <w:widowControl/>
        <w:numPr>
          <w:ilvl w:val="0"/>
          <w:numId w:val="10"/>
        </w:numPr>
        <w:suppressAutoHyphens w:val="0"/>
        <w:spacing w:after="200" w:line="276" w:lineRule="auto"/>
        <w:rPr>
          <w:b/>
        </w:rPr>
      </w:pPr>
      <w:r>
        <w:rPr>
          <w:b/>
        </w:rPr>
        <w:t>Why have some of the fees changed?</w:t>
      </w:r>
    </w:p>
    <w:p w14:paraId="464891AF" w14:textId="18CBB6B0" w:rsidR="00CC3D6F" w:rsidRDefault="00CC3D6F" w:rsidP="00CC3D6F">
      <w:r>
        <w:t>In order to encourage existing foreign investors to submit their annual survey, we have made it easy to complete online, and we have also removed the SBD 200 annual fee.  This takes the Solomon Islands far below the regional average cost of competing an annual survey, which is over SBD 2000 a year.</w:t>
      </w:r>
    </w:p>
    <w:p w14:paraId="17265939" w14:textId="77777777" w:rsidR="00CC3D6F" w:rsidRDefault="00CC3D6F" w:rsidP="00CC3D6F"/>
    <w:p w14:paraId="6909D085" w14:textId="6DA13378" w:rsidR="00CC3D6F" w:rsidRDefault="00CC3D6F" w:rsidP="00CC3D6F">
      <w:r>
        <w:t xml:space="preserve">A review of the fee for registering a foreign investment was overdue, as the previous fee did not accurately reflect the time and effort required to screen and process foreign investment applications.  The fee for registering a foreign investment is now SBD 2000, which is still less than half of the regional average. </w:t>
      </w:r>
    </w:p>
    <w:p w14:paraId="3539AA1D" w14:textId="77777777" w:rsidR="00CC3D6F" w:rsidRDefault="00CC3D6F" w:rsidP="00CC3D6F"/>
    <w:p w14:paraId="38917860" w14:textId="77777777" w:rsidR="00CC3D6F" w:rsidRDefault="00CC3D6F" w:rsidP="00CC3D6F">
      <w:r>
        <w:t>A change of investment activity used to incur the same fee as a new application for registration.  This now forms part of the change in details fee. The notification of change in details fee is 1000, however, in order to encourage foreign investors to keep their details up to date, there will be no fee for changes made in the first six months of the operation of the InvestSolomons registry.</w:t>
      </w:r>
    </w:p>
    <w:p w14:paraId="5C407382" w14:textId="77777777" w:rsidR="00CC3D6F" w:rsidRDefault="00CC3D6F" w:rsidP="00CC3D6F"/>
    <w:p w14:paraId="3FC3D098" w14:textId="77777777" w:rsidR="00CC3D6F" w:rsidRDefault="00CC3D6F" w:rsidP="00CC3D6F">
      <w:r>
        <w:t xml:space="preserve">Key fee changes are outlined below: </w:t>
      </w:r>
    </w:p>
    <w:p w14:paraId="2F9C383D" w14:textId="77777777" w:rsidR="00CC3D6F" w:rsidRDefault="00CC3D6F" w:rsidP="00CC3D6F"/>
    <w:tbl>
      <w:tblPr>
        <w:tblStyle w:val="TableGrid"/>
        <w:tblW w:w="0" w:type="auto"/>
        <w:tblLook w:val="04A0" w:firstRow="1" w:lastRow="0" w:firstColumn="1" w:lastColumn="0" w:noHBand="0" w:noVBand="1"/>
      </w:tblPr>
      <w:tblGrid>
        <w:gridCol w:w="5824"/>
        <w:gridCol w:w="1345"/>
        <w:gridCol w:w="1530"/>
      </w:tblGrid>
      <w:tr w:rsidR="00CC3D6F" w14:paraId="1109EB93" w14:textId="77777777" w:rsidTr="006B4174">
        <w:tc>
          <w:tcPr>
            <w:tcW w:w="869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262944" w14:textId="77777777" w:rsidR="00CC3D6F" w:rsidRDefault="00CC3D6F" w:rsidP="006B4174">
            <w:pPr>
              <w:jc w:val="center"/>
              <w:rPr>
                <w:b/>
                <w:sz w:val="28"/>
                <w:szCs w:val="28"/>
              </w:rPr>
            </w:pPr>
            <w:r>
              <w:rPr>
                <w:b/>
                <w:sz w:val="28"/>
                <w:szCs w:val="28"/>
              </w:rPr>
              <w:t>Summary of Fee Changes – Foreign Investment</w:t>
            </w:r>
          </w:p>
        </w:tc>
      </w:tr>
      <w:tr w:rsidR="00CC3D6F" w14:paraId="6865359F" w14:textId="77777777" w:rsidTr="006B4174">
        <w:tc>
          <w:tcPr>
            <w:tcW w:w="58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9F2006" w14:textId="77777777" w:rsidR="00CC3D6F" w:rsidRDefault="00CC3D6F" w:rsidP="006B4174">
            <w:pPr>
              <w:rPr>
                <w:b/>
              </w:rPr>
            </w:pPr>
            <w:r>
              <w:rPr>
                <w:b/>
              </w:rPr>
              <w:t>Description</w:t>
            </w:r>
          </w:p>
        </w:tc>
        <w:tc>
          <w:tcPr>
            <w:tcW w:w="1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9C53CF" w14:textId="77777777" w:rsidR="00CC3D6F" w:rsidRDefault="00CC3D6F" w:rsidP="006B4174">
            <w:pPr>
              <w:rPr>
                <w:b/>
              </w:rPr>
            </w:pPr>
            <w:r>
              <w:rPr>
                <w:b/>
              </w:rPr>
              <w:t>Old Fee</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47E692" w14:textId="77777777" w:rsidR="00CC3D6F" w:rsidRDefault="00CC3D6F" w:rsidP="006B4174">
            <w:pPr>
              <w:rPr>
                <w:b/>
              </w:rPr>
            </w:pPr>
            <w:r>
              <w:rPr>
                <w:b/>
              </w:rPr>
              <w:t>New Fee</w:t>
            </w:r>
          </w:p>
        </w:tc>
      </w:tr>
      <w:tr w:rsidR="00CC3D6F" w14:paraId="187F1F8F" w14:textId="77777777" w:rsidTr="006B4174">
        <w:tc>
          <w:tcPr>
            <w:tcW w:w="5824" w:type="dxa"/>
            <w:tcBorders>
              <w:top w:val="single" w:sz="4" w:space="0" w:color="auto"/>
              <w:left w:val="single" w:sz="4" w:space="0" w:color="auto"/>
              <w:bottom w:val="single" w:sz="4" w:space="0" w:color="auto"/>
              <w:right w:val="single" w:sz="4" w:space="0" w:color="auto"/>
            </w:tcBorders>
            <w:hideMark/>
          </w:tcPr>
          <w:p w14:paraId="0DC6F2A6" w14:textId="77777777" w:rsidR="00CC3D6F" w:rsidRDefault="00CC3D6F" w:rsidP="006B4174">
            <w:bookmarkStart w:id="1" w:name="_Toc463859993"/>
            <w:r w:rsidRPr="009002E8">
              <w:t xml:space="preserve">Application </w:t>
            </w:r>
            <w:bookmarkEnd w:id="1"/>
            <w:r>
              <w:t>for registration</w:t>
            </w:r>
            <w:r w:rsidRPr="009002E8">
              <w:t xml:space="preserve"> (section </w:t>
            </w:r>
            <w:r>
              <w:t>15</w:t>
            </w:r>
            <w:r w:rsidRPr="009002E8">
              <w:t>)</w:t>
            </w:r>
          </w:p>
        </w:tc>
        <w:tc>
          <w:tcPr>
            <w:tcW w:w="1345" w:type="dxa"/>
            <w:tcBorders>
              <w:top w:val="single" w:sz="4" w:space="0" w:color="auto"/>
              <w:left w:val="single" w:sz="4" w:space="0" w:color="auto"/>
              <w:bottom w:val="single" w:sz="4" w:space="0" w:color="auto"/>
              <w:right w:val="single" w:sz="4" w:space="0" w:color="auto"/>
            </w:tcBorders>
            <w:hideMark/>
          </w:tcPr>
          <w:p w14:paraId="245794A3" w14:textId="77777777" w:rsidR="00CC3D6F" w:rsidRDefault="00CC3D6F" w:rsidP="006B4174">
            <w:r>
              <w:t>200</w:t>
            </w:r>
          </w:p>
        </w:tc>
        <w:tc>
          <w:tcPr>
            <w:tcW w:w="1530" w:type="dxa"/>
            <w:tcBorders>
              <w:top w:val="single" w:sz="4" w:space="0" w:color="auto"/>
              <w:left w:val="single" w:sz="4" w:space="0" w:color="auto"/>
              <w:bottom w:val="single" w:sz="4" w:space="0" w:color="auto"/>
              <w:right w:val="single" w:sz="4" w:space="0" w:color="auto"/>
            </w:tcBorders>
            <w:hideMark/>
          </w:tcPr>
          <w:p w14:paraId="4EEDEBE2" w14:textId="77777777" w:rsidR="00CC3D6F" w:rsidRDefault="00CC3D6F" w:rsidP="006B4174">
            <w:r>
              <w:t>2000</w:t>
            </w:r>
          </w:p>
        </w:tc>
      </w:tr>
      <w:tr w:rsidR="00CC3D6F" w14:paraId="2B31BFE3" w14:textId="77777777" w:rsidTr="006B4174">
        <w:tc>
          <w:tcPr>
            <w:tcW w:w="5824" w:type="dxa"/>
            <w:tcBorders>
              <w:top w:val="single" w:sz="4" w:space="0" w:color="auto"/>
              <w:left w:val="single" w:sz="4" w:space="0" w:color="auto"/>
              <w:bottom w:val="single" w:sz="4" w:space="0" w:color="auto"/>
              <w:right w:val="single" w:sz="4" w:space="0" w:color="auto"/>
            </w:tcBorders>
            <w:hideMark/>
          </w:tcPr>
          <w:p w14:paraId="5FEA7E59" w14:textId="77777777" w:rsidR="00CC3D6F" w:rsidRDefault="00CC3D6F" w:rsidP="006B4174">
            <w:r>
              <w:t>Notification of change in details</w:t>
            </w:r>
            <w:r w:rsidRPr="009002E8">
              <w:t xml:space="preserve"> (section </w:t>
            </w:r>
            <w:r>
              <w:t>22</w:t>
            </w:r>
            <w:r w:rsidRPr="009002E8">
              <w:t>)</w:t>
            </w:r>
          </w:p>
        </w:tc>
        <w:tc>
          <w:tcPr>
            <w:tcW w:w="1345" w:type="dxa"/>
            <w:tcBorders>
              <w:top w:val="single" w:sz="4" w:space="0" w:color="auto"/>
              <w:left w:val="single" w:sz="4" w:space="0" w:color="auto"/>
              <w:bottom w:val="single" w:sz="4" w:space="0" w:color="auto"/>
              <w:right w:val="single" w:sz="4" w:space="0" w:color="auto"/>
            </w:tcBorders>
            <w:hideMark/>
          </w:tcPr>
          <w:p w14:paraId="41FE0E86" w14:textId="77777777" w:rsidR="00CC3D6F" w:rsidRDefault="00CC3D6F" w:rsidP="006B4174">
            <w:r>
              <w:t>200</w:t>
            </w:r>
          </w:p>
        </w:tc>
        <w:tc>
          <w:tcPr>
            <w:tcW w:w="1530" w:type="dxa"/>
            <w:tcBorders>
              <w:top w:val="single" w:sz="4" w:space="0" w:color="auto"/>
              <w:left w:val="single" w:sz="4" w:space="0" w:color="auto"/>
              <w:bottom w:val="single" w:sz="4" w:space="0" w:color="auto"/>
              <w:right w:val="single" w:sz="4" w:space="0" w:color="auto"/>
            </w:tcBorders>
            <w:hideMark/>
          </w:tcPr>
          <w:p w14:paraId="4A7FFDA0" w14:textId="77777777" w:rsidR="00CC3D6F" w:rsidRDefault="00CC3D6F" w:rsidP="006B4174">
            <w:r>
              <w:t>10</w:t>
            </w:r>
            <w:r w:rsidRPr="009002E8">
              <w:t>00</w:t>
            </w:r>
            <w:r>
              <w:t>*</w:t>
            </w:r>
          </w:p>
        </w:tc>
      </w:tr>
      <w:tr w:rsidR="00CC3D6F" w14:paraId="2BD7C4BE" w14:textId="77777777" w:rsidTr="006B4174">
        <w:tc>
          <w:tcPr>
            <w:tcW w:w="5824" w:type="dxa"/>
            <w:tcBorders>
              <w:top w:val="single" w:sz="4" w:space="0" w:color="auto"/>
              <w:left w:val="single" w:sz="4" w:space="0" w:color="auto"/>
              <w:bottom w:val="single" w:sz="4" w:space="0" w:color="auto"/>
              <w:right w:val="single" w:sz="4" w:space="0" w:color="auto"/>
            </w:tcBorders>
            <w:hideMark/>
          </w:tcPr>
          <w:p w14:paraId="2E9B3C5C" w14:textId="77777777" w:rsidR="00CC3D6F" w:rsidRDefault="00CC3D6F" w:rsidP="006B4174">
            <w:r>
              <w:t xml:space="preserve">Application for review </w:t>
            </w:r>
            <w:r w:rsidRPr="009002E8">
              <w:t>(section </w:t>
            </w:r>
            <w:r>
              <w:t>27</w:t>
            </w:r>
            <w:r w:rsidRPr="009002E8">
              <w:t>)</w:t>
            </w:r>
          </w:p>
        </w:tc>
        <w:tc>
          <w:tcPr>
            <w:tcW w:w="1345" w:type="dxa"/>
            <w:tcBorders>
              <w:top w:val="single" w:sz="4" w:space="0" w:color="auto"/>
              <w:left w:val="single" w:sz="4" w:space="0" w:color="auto"/>
              <w:bottom w:val="single" w:sz="4" w:space="0" w:color="auto"/>
              <w:right w:val="single" w:sz="4" w:space="0" w:color="auto"/>
            </w:tcBorders>
            <w:hideMark/>
          </w:tcPr>
          <w:p w14:paraId="1467678C" w14:textId="77777777" w:rsidR="00CC3D6F" w:rsidRDefault="00CC3D6F" w:rsidP="006B4174">
            <w:r>
              <w:t>200</w:t>
            </w:r>
          </w:p>
        </w:tc>
        <w:tc>
          <w:tcPr>
            <w:tcW w:w="1530" w:type="dxa"/>
            <w:tcBorders>
              <w:top w:val="single" w:sz="4" w:space="0" w:color="auto"/>
              <w:left w:val="single" w:sz="4" w:space="0" w:color="auto"/>
              <w:bottom w:val="single" w:sz="4" w:space="0" w:color="auto"/>
              <w:right w:val="single" w:sz="4" w:space="0" w:color="auto"/>
            </w:tcBorders>
            <w:hideMark/>
          </w:tcPr>
          <w:p w14:paraId="5DFC1C55" w14:textId="77777777" w:rsidR="00CC3D6F" w:rsidRDefault="00CC3D6F" w:rsidP="006B4174">
            <w:r>
              <w:t>5</w:t>
            </w:r>
            <w:r w:rsidRPr="009002E8">
              <w:t>00</w:t>
            </w:r>
          </w:p>
        </w:tc>
      </w:tr>
    </w:tbl>
    <w:p w14:paraId="0FA37B07" w14:textId="77777777" w:rsidR="00CC3D6F" w:rsidRDefault="00CC3D6F" w:rsidP="00CC3D6F">
      <w:pPr>
        <w:rPr>
          <w:sz w:val="28"/>
          <w:szCs w:val="28"/>
        </w:rPr>
      </w:pPr>
    </w:p>
    <w:p w14:paraId="0DB37265" w14:textId="77777777" w:rsidR="00CC3D6F" w:rsidRPr="008E4C54" w:rsidRDefault="00CC3D6F" w:rsidP="00CC3D6F">
      <w:pPr>
        <w:rPr>
          <w:vanish/>
          <w:szCs w:val="28"/>
        </w:rPr>
      </w:pPr>
      <w:r w:rsidRPr="008E4C54">
        <w:rPr>
          <w:szCs w:val="28"/>
        </w:rPr>
        <w:t>*</w:t>
      </w:r>
      <w:proofErr w:type="gramStart"/>
      <w:r w:rsidRPr="008E4C54">
        <w:rPr>
          <w:szCs w:val="28"/>
        </w:rPr>
        <w:t>free</w:t>
      </w:r>
      <w:proofErr w:type="gramEnd"/>
      <w:r w:rsidRPr="008E4C54">
        <w:rPr>
          <w:szCs w:val="28"/>
        </w:rPr>
        <w:t xml:space="preserve"> for six months from November 22 2016.</w:t>
      </w:r>
    </w:p>
    <w:p w14:paraId="38383EAB" w14:textId="77777777" w:rsidR="00CC3D6F" w:rsidRPr="008E4C54" w:rsidRDefault="00CC3D6F" w:rsidP="00CC3D6F">
      <w:pPr>
        <w:rPr>
          <w:vanish/>
          <w:szCs w:val="28"/>
        </w:rPr>
      </w:pPr>
    </w:p>
    <w:p w14:paraId="60C905E1" w14:textId="77777777" w:rsidR="00CC3D6F" w:rsidRPr="008E4C54" w:rsidRDefault="00CC3D6F" w:rsidP="00CC3D6F">
      <w:pPr>
        <w:rPr>
          <w:vanish/>
          <w:sz w:val="18"/>
        </w:rPr>
      </w:pPr>
    </w:p>
    <w:p w14:paraId="1AF367D3" w14:textId="77777777" w:rsidR="00CC3D6F" w:rsidRPr="008E4C54" w:rsidRDefault="00CC3D6F" w:rsidP="00CC3D6F">
      <w:pPr>
        <w:rPr>
          <w:sz w:val="18"/>
        </w:rPr>
      </w:pPr>
    </w:p>
    <w:p w14:paraId="0F2055B3" w14:textId="32D89F4D" w:rsidR="007607FF" w:rsidRPr="00DD539E" w:rsidRDefault="007607FF" w:rsidP="00DD539E">
      <w:pPr>
        <w:rPr>
          <w:rFonts w:eastAsiaTheme="majorEastAsia" w:cstheme="majorBidi"/>
          <w:b/>
          <w:bCs/>
          <w:color w:val="0E76BC"/>
          <w:sz w:val="24"/>
          <w:szCs w:val="26"/>
        </w:rPr>
      </w:pPr>
    </w:p>
    <w:sectPr w:rsidR="007607FF" w:rsidRPr="00DD539E" w:rsidSect="00F70357">
      <w:headerReference w:type="default" r:id="rId13"/>
      <w:headerReference w:type="first" r:id="rId14"/>
      <w:pgSz w:w="11907" w:h="16839" w:code="9"/>
      <w:pgMar w:top="900" w:right="1440" w:bottom="990" w:left="1440" w:header="18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7A3E0" w14:textId="77777777" w:rsidR="00CD6263" w:rsidRDefault="00CD6263" w:rsidP="006738A6">
      <w:r>
        <w:separator/>
      </w:r>
    </w:p>
  </w:endnote>
  <w:endnote w:type="continuationSeparator" w:id="0">
    <w:p w14:paraId="74F8DC16" w14:textId="77777777" w:rsidR="00CD6263" w:rsidRDefault="00CD6263" w:rsidP="0067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62AF2" w14:textId="77777777" w:rsidR="00CD6263" w:rsidRDefault="00CD6263" w:rsidP="006738A6">
      <w:r>
        <w:separator/>
      </w:r>
    </w:p>
  </w:footnote>
  <w:footnote w:type="continuationSeparator" w:id="0">
    <w:p w14:paraId="4B270376" w14:textId="77777777" w:rsidR="00CD6263" w:rsidRDefault="00CD6263" w:rsidP="006738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C2FAC" w14:textId="77777777" w:rsidR="004874E5" w:rsidRDefault="00116A62" w:rsidP="004874E5">
    <w:pPr>
      <w:pStyle w:val="Header"/>
      <w:tabs>
        <w:tab w:val="clear" w:pos="9360"/>
        <w:tab w:val="right" w:pos="10800"/>
      </w:tabs>
      <w:ind w:left="-1440"/>
    </w:pPr>
    <w:r>
      <w:rPr>
        <w:noProof/>
        <w:sz w:val="14"/>
        <w:szCs w:val="14"/>
      </w:rPr>
      <mc:AlternateContent>
        <mc:Choice Requires="wps">
          <w:drawing>
            <wp:anchor distT="0" distB="0" distL="114300" distR="114300" simplePos="0" relativeHeight="251659264" behindDoc="1" locked="0" layoutInCell="1" allowOverlap="1" wp14:anchorId="28641CED" wp14:editId="23B66E5D">
              <wp:simplePos x="0" y="0"/>
              <wp:positionH relativeFrom="column">
                <wp:posOffset>-914400</wp:posOffset>
              </wp:positionH>
              <wp:positionV relativeFrom="paragraph">
                <wp:posOffset>-114300</wp:posOffset>
              </wp:positionV>
              <wp:extent cx="7772400" cy="270662"/>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270662"/>
                      </a:xfrm>
                      <a:prstGeom prst="rect">
                        <a:avLst/>
                      </a:prstGeom>
                      <a:solidFill>
                        <a:srgbClr val="0B94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1in;margin-top:-9pt;width:612pt;height:21.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" fillcolor="#0b9444" stroked="f" strokeweight="2pt"/>
          </w:pict>
        </mc:Fallback>
      </mc:AlternateContent>
    </w:r>
    <w:r w:rsidR="0097659D" w:rsidRPr="004874E5">
      <w:rPr>
        <w:sz w:val="14"/>
        <w:szCs w:val="14"/>
      </w:rPr>
      <w:t xml:space="preserve">     </w:t>
    </w:r>
    <w:r w:rsidR="004874E5">
      <w:rPr>
        <w:rFonts w:ascii="Arial" w:hAnsi="Arial" w:cs="Arial"/>
        <w:color w:val="FFFFFF" w:themeColor="background1"/>
        <w:sz w:val="14"/>
        <w:szCs w:val="14"/>
      </w:rPr>
      <w:t xml:space="preserve">                               </w:t>
    </w:r>
  </w:p>
  <w:p w14:paraId="216DA491" w14:textId="77777777" w:rsidR="004874E5" w:rsidRDefault="004874E5" w:rsidP="004874E5">
    <w:pPr>
      <w:pStyle w:val="Header"/>
      <w:tabs>
        <w:tab w:val="clear" w:pos="9360"/>
        <w:tab w:val="right" w:pos="10800"/>
      </w:tabs>
      <w:ind w:left="-14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82395" w14:textId="0C53FC94" w:rsidR="00134F0C" w:rsidRDefault="00747540" w:rsidP="002932D8">
    <w:pPr>
      <w:pStyle w:val="Header"/>
      <w:tabs>
        <w:tab w:val="clear" w:pos="9360"/>
        <w:tab w:val="right" w:pos="10800"/>
      </w:tabs>
      <w:ind w:left="-540" w:right="-333"/>
    </w:pPr>
    <w:r>
      <w:rPr>
        <w:noProof/>
      </w:rPr>
      <w:drawing>
        <wp:anchor distT="0" distB="0" distL="114300" distR="114300" simplePos="0" relativeHeight="251669504" behindDoc="0" locked="0" layoutInCell="1" allowOverlap="1" wp14:anchorId="62C3D1DF" wp14:editId="6505800C">
          <wp:simplePos x="0" y="0"/>
          <wp:positionH relativeFrom="column">
            <wp:posOffset>0</wp:posOffset>
          </wp:positionH>
          <wp:positionV relativeFrom="paragraph">
            <wp:posOffset>0</wp:posOffset>
          </wp:positionV>
          <wp:extent cx="1143000" cy="772160"/>
          <wp:effectExtent l="0" t="0" r="0" b="0"/>
          <wp:wrapNone/>
          <wp:docPr id="3" name="Picture 2" descr="Macintosh HD:Users:carlodelacruz:Downloads:Invest Solomon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rlodelacruz:Downloads:Invest Solomon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7540">
      <w:rPr>
        <w:noProof/>
        <w:sz w:val="14"/>
        <w:szCs w:val="14"/>
      </w:rPr>
      <w:drawing>
        <wp:anchor distT="0" distB="0" distL="114300" distR="114300" simplePos="0" relativeHeight="251668480" behindDoc="0" locked="0" layoutInCell="1" allowOverlap="1" wp14:anchorId="76E37916" wp14:editId="56567972">
          <wp:simplePos x="0" y="0"/>
          <wp:positionH relativeFrom="column">
            <wp:posOffset>5029200</wp:posOffset>
          </wp:positionH>
          <wp:positionV relativeFrom="paragraph">
            <wp:posOffset>-6724</wp:posOffset>
          </wp:positionV>
          <wp:extent cx="571500" cy="806824"/>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mon Islands_crest.tif"/>
                  <pic:cNvPicPr/>
                </pic:nvPicPr>
                <pic:blipFill>
                  <a:blip r:embed="rId2">
                    <a:extLst>
                      <a:ext uri="{28A0092B-C50C-407E-A947-70E740481C1C}">
                        <a14:useLocalDpi xmlns:a14="http://schemas.microsoft.com/office/drawing/2010/main" val="0"/>
                      </a:ext>
                    </a:extLst>
                  </a:blip>
                  <a:stretch>
                    <a:fillRect/>
                  </a:stretch>
                </pic:blipFill>
                <pic:spPr>
                  <a:xfrm>
                    <a:off x="0" y="0"/>
                    <a:ext cx="571500" cy="806824"/>
                  </a:xfrm>
                  <a:prstGeom prst="rect">
                    <a:avLst/>
                  </a:prstGeom>
                </pic:spPr>
              </pic:pic>
            </a:graphicData>
          </a:graphic>
          <wp14:sizeRelH relativeFrom="page">
            <wp14:pctWidth>0</wp14:pctWidth>
          </wp14:sizeRelH>
          <wp14:sizeRelV relativeFrom="page">
            <wp14:pctHeight>0</wp14:pctHeight>
          </wp14:sizeRelV>
        </wp:anchor>
      </w:drawing>
    </w:r>
    <w:r w:rsidR="002932D8">
      <w:rPr>
        <w:sz w:val="14"/>
        <w:szCs w:val="14"/>
      </w:rPr>
      <w:t xml:space="preserve">  </w:t>
    </w:r>
    <w:r w:rsidR="00FE237C">
      <w:rPr>
        <w:sz w:val="14"/>
        <w:szCs w:val="14"/>
      </w:rPr>
      <w:t xml:space="preserve">                                                                                       </w:t>
    </w:r>
    <w:r w:rsidR="002932D8">
      <w:rPr>
        <w:sz w:val="14"/>
        <w:szCs w:val="14"/>
      </w:rPr>
      <w:t xml:space="preserve">                                              </w:t>
    </w:r>
    <w:r w:rsidR="00FE237C">
      <w:rPr>
        <w:sz w:val="14"/>
        <w:szCs w:val="14"/>
      </w:rPr>
      <w:t xml:space="preserve">           </w:t>
    </w:r>
  </w:p>
  <w:p w14:paraId="5919DC46" w14:textId="18DDB420" w:rsidR="00134F0C" w:rsidRDefault="00B22BC7">
    <w:pPr>
      <w:pStyle w:val="Header"/>
    </w:pPr>
    <w:r>
      <w:rPr>
        <w:noProof/>
      </w:rPr>
      <mc:AlternateContent>
        <mc:Choice Requires="wps">
          <w:drawing>
            <wp:anchor distT="0" distB="0" distL="114300" distR="114300" simplePos="0" relativeHeight="251667456" behindDoc="1" locked="0" layoutInCell="1" allowOverlap="1" wp14:anchorId="579E22AB" wp14:editId="5A58A138">
              <wp:simplePos x="0" y="0"/>
              <wp:positionH relativeFrom="column">
                <wp:posOffset>-914400</wp:posOffset>
              </wp:positionH>
              <wp:positionV relativeFrom="paragraph">
                <wp:posOffset>759460</wp:posOffset>
              </wp:positionV>
              <wp:extent cx="7772400" cy="0"/>
              <wp:effectExtent l="0" t="25400" r="0" b="25400"/>
              <wp:wrapNone/>
              <wp:docPr id="12" name="Straight Connector 12"/>
              <wp:cNvGraphicFramePr/>
              <a:graphic xmlns:a="http://schemas.openxmlformats.org/drawingml/2006/main">
                <a:graphicData uri="http://schemas.microsoft.com/office/word/2010/wordprocessingShape">
                  <wps:wsp>
                    <wps:cNvCnPr/>
                    <wps:spPr>
                      <a:xfrm>
                        <a:off x="0" y="0"/>
                        <a:ext cx="7772400" cy="0"/>
                      </a:xfrm>
                      <a:prstGeom prst="line">
                        <a:avLst/>
                      </a:prstGeom>
                      <a:ln w="38100">
                        <a:solidFill>
                          <a:srgbClr val="24994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71.95pt,59.8pt" to="540.05pt,59.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" strokecolor="#249946" strokeweight="3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5D14"/>
    <w:multiLevelType w:val="hybridMultilevel"/>
    <w:tmpl w:val="01A2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5423A"/>
    <w:multiLevelType w:val="hybridMultilevel"/>
    <w:tmpl w:val="946C801C"/>
    <w:lvl w:ilvl="0" w:tplc="70CE0100">
      <w:numFmt w:val="bullet"/>
      <w:lvlText w:val="•"/>
      <w:lvlJc w:val="left"/>
      <w:pPr>
        <w:ind w:left="1920" w:hanging="15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292FC3"/>
    <w:multiLevelType w:val="hybridMultilevel"/>
    <w:tmpl w:val="E264B59C"/>
    <w:lvl w:ilvl="0" w:tplc="1409000F">
      <w:start w:val="1"/>
      <w:numFmt w:val="decimal"/>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3">
    <w:nsid w:val="3FFE3B17"/>
    <w:multiLevelType w:val="hybridMultilevel"/>
    <w:tmpl w:val="34784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8B7617F"/>
    <w:multiLevelType w:val="hybridMultilevel"/>
    <w:tmpl w:val="3DB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9A3848"/>
    <w:multiLevelType w:val="hybridMultilevel"/>
    <w:tmpl w:val="DA38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DE490B"/>
    <w:multiLevelType w:val="hybridMultilevel"/>
    <w:tmpl w:val="D0143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2991853"/>
    <w:multiLevelType w:val="hybridMultilevel"/>
    <w:tmpl w:val="A4F0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1A1905"/>
    <w:multiLevelType w:val="hybridMultilevel"/>
    <w:tmpl w:val="E54AD06E"/>
    <w:lvl w:ilvl="0" w:tplc="CD6EA9AE">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4"/>
  </w:num>
  <w:num w:numId="6">
    <w:abstractNumId w:val="6"/>
  </w:num>
  <w:num w:numId="7">
    <w:abstractNumId w:val="5"/>
  </w:num>
  <w:num w:numId="8">
    <w:abstractNumId w:val="8"/>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A6"/>
    <w:rsid w:val="000451C9"/>
    <w:rsid w:val="000A4C81"/>
    <w:rsid w:val="00116A62"/>
    <w:rsid w:val="00134F0C"/>
    <w:rsid w:val="001427C2"/>
    <w:rsid w:val="002932D8"/>
    <w:rsid w:val="00296C15"/>
    <w:rsid w:val="002B32FE"/>
    <w:rsid w:val="002C503B"/>
    <w:rsid w:val="00305F74"/>
    <w:rsid w:val="00375318"/>
    <w:rsid w:val="00377835"/>
    <w:rsid w:val="00377942"/>
    <w:rsid w:val="00385283"/>
    <w:rsid w:val="00393EA4"/>
    <w:rsid w:val="003B77C6"/>
    <w:rsid w:val="00416613"/>
    <w:rsid w:val="004874E5"/>
    <w:rsid w:val="004A7F96"/>
    <w:rsid w:val="004B4A86"/>
    <w:rsid w:val="0055475D"/>
    <w:rsid w:val="005730C5"/>
    <w:rsid w:val="00586643"/>
    <w:rsid w:val="006738A6"/>
    <w:rsid w:val="006F332F"/>
    <w:rsid w:val="0074441A"/>
    <w:rsid w:val="00747540"/>
    <w:rsid w:val="007607FF"/>
    <w:rsid w:val="0077690A"/>
    <w:rsid w:val="00777DB9"/>
    <w:rsid w:val="00787ED7"/>
    <w:rsid w:val="00807D90"/>
    <w:rsid w:val="0081103F"/>
    <w:rsid w:val="008770A6"/>
    <w:rsid w:val="008B4B9A"/>
    <w:rsid w:val="008F33C3"/>
    <w:rsid w:val="0097659D"/>
    <w:rsid w:val="00B22BC7"/>
    <w:rsid w:val="00B62FE5"/>
    <w:rsid w:val="00B80EFF"/>
    <w:rsid w:val="00CC3D6F"/>
    <w:rsid w:val="00CD6263"/>
    <w:rsid w:val="00DC09A6"/>
    <w:rsid w:val="00DD539E"/>
    <w:rsid w:val="00EC4EA2"/>
    <w:rsid w:val="00EF1CFC"/>
    <w:rsid w:val="00F24132"/>
    <w:rsid w:val="00F53696"/>
    <w:rsid w:val="00F70357"/>
    <w:rsid w:val="00FE2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95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7F96"/>
    <w:pPr>
      <w:widowControl w:val="0"/>
      <w:suppressAutoHyphens/>
      <w:spacing w:after="0" w:line="240" w:lineRule="auto"/>
    </w:pPr>
    <w:rPr>
      <w:rFonts w:eastAsia="Times New Roman" w:cs="Times New Roman"/>
      <w:color w:val="404040" w:themeColor="text1" w:themeTint="BF"/>
      <w:sz w:val="20"/>
      <w:szCs w:val="24"/>
    </w:rPr>
  </w:style>
  <w:style w:type="paragraph" w:styleId="Heading1">
    <w:name w:val="heading 1"/>
    <w:aliases w:val="Document Title"/>
    <w:next w:val="Normal"/>
    <w:link w:val="Heading1Char"/>
    <w:uiPriority w:val="9"/>
    <w:qFormat/>
    <w:rsid w:val="002932D8"/>
    <w:pPr>
      <w:keepNext/>
      <w:keepLines/>
      <w:spacing w:before="400" w:after="100" w:line="240" w:lineRule="auto"/>
      <w:outlineLvl w:val="0"/>
    </w:pPr>
    <w:rPr>
      <w:rFonts w:eastAsiaTheme="majorEastAsia" w:cstheme="majorBidi"/>
      <w:b/>
      <w:bCs/>
      <w:color w:val="0B9444"/>
      <w:sz w:val="40"/>
      <w:szCs w:val="28"/>
    </w:rPr>
  </w:style>
  <w:style w:type="paragraph" w:styleId="Heading2">
    <w:name w:val="heading 2"/>
    <w:aliases w:val="Heading"/>
    <w:basedOn w:val="Normal"/>
    <w:next w:val="Normal"/>
    <w:link w:val="Heading2Char"/>
    <w:uiPriority w:val="9"/>
    <w:unhideWhenUsed/>
    <w:qFormat/>
    <w:rsid w:val="002932D8"/>
    <w:pPr>
      <w:keepNext/>
      <w:keepLines/>
      <w:outlineLvl w:val="1"/>
    </w:pPr>
    <w:rPr>
      <w:rFonts w:eastAsiaTheme="majorEastAsia" w:cstheme="majorBidi"/>
      <w:b/>
      <w:bCs/>
      <w:color w:val="0B9444"/>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8A6"/>
    <w:pPr>
      <w:tabs>
        <w:tab w:val="center" w:pos="4680"/>
        <w:tab w:val="right" w:pos="9360"/>
      </w:tabs>
    </w:pPr>
  </w:style>
  <w:style w:type="character" w:customStyle="1" w:styleId="HeaderChar">
    <w:name w:val="Header Char"/>
    <w:basedOn w:val="DefaultParagraphFont"/>
    <w:link w:val="Header"/>
    <w:uiPriority w:val="99"/>
    <w:rsid w:val="006738A6"/>
  </w:style>
  <w:style w:type="paragraph" w:styleId="Footer">
    <w:name w:val="footer"/>
    <w:basedOn w:val="Normal"/>
    <w:link w:val="FooterChar"/>
    <w:uiPriority w:val="99"/>
    <w:unhideWhenUsed/>
    <w:rsid w:val="006738A6"/>
    <w:pPr>
      <w:tabs>
        <w:tab w:val="center" w:pos="4680"/>
        <w:tab w:val="right" w:pos="9360"/>
      </w:tabs>
    </w:pPr>
  </w:style>
  <w:style w:type="character" w:customStyle="1" w:styleId="FooterChar">
    <w:name w:val="Footer Char"/>
    <w:basedOn w:val="DefaultParagraphFont"/>
    <w:link w:val="Footer"/>
    <w:uiPriority w:val="99"/>
    <w:rsid w:val="006738A6"/>
  </w:style>
  <w:style w:type="paragraph" w:styleId="BalloonText">
    <w:name w:val="Balloon Text"/>
    <w:basedOn w:val="Normal"/>
    <w:link w:val="BalloonTextChar"/>
    <w:uiPriority w:val="99"/>
    <w:semiHidden/>
    <w:unhideWhenUsed/>
    <w:rsid w:val="006738A6"/>
    <w:rPr>
      <w:rFonts w:ascii="Tahoma" w:hAnsi="Tahoma" w:cs="Tahoma"/>
      <w:sz w:val="16"/>
      <w:szCs w:val="16"/>
    </w:rPr>
  </w:style>
  <w:style w:type="character" w:customStyle="1" w:styleId="BalloonTextChar">
    <w:name w:val="Balloon Text Char"/>
    <w:basedOn w:val="DefaultParagraphFont"/>
    <w:link w:val="BalloonText"/>
    <w:uiPriority w:val="99"/>
    <w:semiHidden/>
    <w:rsid w:val="006738A6"/>
    <w:rPr>
      <w:rFonts w:ascii="Tahoma" w:hAnsi="Tahoma" w:cs="Tahoma"/>
      <w:sz w:val="16"/>
      <w:szCs w:val="16"/>
    </w:rPr>
  </w:style>
  <w:style w:type="character" w:styleId="Hyperlink">
    <w:name w:val="Hyperlink"/>
    <w:uiPriority w:val="99"/>
    <w:unhideWhenUsed/>
    <w:rsid w:val="000A4C81"/>
    <w:rPr>
      <w:color w:val="0000FF"/>
      <w:u w:val="single"/>
    </w:rPr>
  </w:style>
  <w:style w:type="table" w:styleId="TableGrid">
    <w:name w:val="Table Grid"/>
    <w:basedOn w:val="TableNormal"/>
    <w:rsid w:val="000A4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475D"/>
    <w:pPr>
      <w:ind w:left="720"/>
      <w:contextualSpacing/>
    </w:pPr>
  </w:style>
  <w:style w:type="character" w:customStyle="1" w:styleId="Heading1Char">
    <w:name w:val="Heading 1 Char"/>
    <w:aliases w:val="Document Title Char"/>
    <w:basedOn w:val="DefaultParagraphFont"/>
    <w:link w:val="Heading1"/>
    <w:uiPriority w:val="9"/>
    <w:rsid w:val="002932D8"/>
    <w:rPr>
      <w:rFonts w:eastAsiaTheme="majorEastAsia" w:cstheme="majorBidi"/>
      <w:b/>
      <w:bCs/>
      <w:color w:val="0B9444"/>
      <w:sz w:val="40"/>
      <w:szCs w:val="28"/>
    </w:rPr>
  </w:style>
  <w:style w:type="character" w:customStyle="1" w:styleId="Heading2Char">
    <w:name w:val="Heading 2 Char"/>
    <w:aliases w:val="Heading Char"/>
    <w:basedOn w:val="DefaultParagraphFont"/>
    <w:link w:val="Heading2"/>
    <w:uiPriority w:val="9"/>
    <w:rsid w:val="002932D8"/>
    <w:rPr>
      <w:rFonts w:eastAsiaTheme="majorEastAsia" w:cstheme="majorBidi"/>
      <w:b/>
      <w:bCs/>
      <w:color w:val="0B9444"/>
      <w:sz w:val="24"/>
      <w:szCs w:val="26"/>
    </w:rPr>
  </w:style>
  <w:style w:type="character" w:styleId="Strong">
    <w:name w:val="Strong"/>
    <w:basedOn w:val="DefaultParagraphFont"/>
    <w:uiPriority w:val="22"/>
    <w:qFormat/>
    <w:rsid w:val="00416613"/>
    <w:rPr>
      <w:rFonts w:ascii="Calibri" w:hAnsi="Calibri" w:cstheme="minorHAnsi"/>
      <w:b/>
      <w:i w:val="0"/>
      <w:color w:val="1A74BB"/>
      <w:sz w:val="20"/>
      <w:szCs w:val="20"/>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7F96"/>
    <w:pPr>
      <w:widowControl w:val="0"/>
      <w:suppressAutoHyphens/>
      <w:spacing w:after="0" w:line="240" w:lineRule="auto"/>
    </w:pPr>
    <w:rPr>
      <w:rFonts w:eastAsia="Times New Roman" w:cs="Times New Roman"/>
      <w:color w:val="404040" w:themeColor="text1" w:themeTint="BF"/>
      <w:sz w:val="20"/>
      <w:szCs w:val="24"/>
    </w:rPr>
  </w:style>
  <w:style w:type="paragraph" w:styleId="Heading1">
    <w:name w:val="heading 1"/>
    <w:aliases w:val="Document Title"/>
    <w:next w:val="Normal"/>
    <w:link w:val="Heading1Char"/>
    <w:uiPriority w:val="9"/>
    <w:qFormat/>
    <w:rsid w:val="002932D8"/>
    <w:pPr>
      <w:keepNext/>
      <w:keepLines/>
      <w:spacing w:before="400" w:after="100" w:line="240" w:lineRule="auto"/>
      <w:outlineLvl w:val="0"/>
    </w:pPr>
    <w:rPr>
      <w:rFonts w:eastAsiaTheme="majorEastAsia" w:cstheme="majorBidi"/>
      <w:b/>
      <w:bCs/>
      <w:color w:val="0B9444"/>
      <w:sz w:val="40"/>
      <w:szCs w:val="28"/>
    </w:rPr>
  </w:style>
  <w:style w:type="paragraph" w:styleId="Heading2">
    <w:name w:val="heading 2"/>
    <w:aliases w:val="Heading"/>
    <w:basedOn w:val="Normal"/>
    <w:next w:val="Normal"/>
    <w:link w:val="Heading2Char"/>
    <w:uiPriority w:val="9"/>
    <w:unhideWhenUsed/>
    <w:qFormat/>
    <w:rsid w:val="002932D8"/>
    <w:pPr>
      <w:keepNext/>
      <w:keepLines/>
      <w:outlineLvl w:val="1"/>
    </w:pPr>
    <w:rPr>
      <w:rFonts w:eastAsiaTheme="majorEastAsia" w:cstheme="majorBidi"/>
      <w:b/>
      <w:bCs/>
      <w:color w:val="0B9444"/>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8A6"/>
    <w:pPr>
      <w:tabs>
        <w:tab w:val="center" w:pos="4680"/>
        <w:tab w:val="right" w:pos="9360"/>
      </w:tabs>
    </w:pPr>
  </w:style>
  <w:style w:type="character" w:customStyle="1" w:styleId="HeaderChar">
    <w:name w:val="Header Char"/>
    <w:basedOn w:val="DefaultParagraphFont"/>
    <w:link w:val="Header"/>
    <w:uiPriority w:val="99"/>
    <w:rsid w:val="006738A6"/>
  </w:style>
  <w:style w:type="paragraph" w:styleId="Footer">
    <w:name w:val="footer"/>
    <w:basedOn w:val="Normal"/>
    <w:link w:val="FooterChar"/>
    <w:uiPriority w:val="99"/>
    <w:unhideWhenUsed/>
    <w:rsid w:val="006738A6"/>
    <w:pPr>
      <w:tabs>
        <w:tab w:val="center" w:pos="4680"/>
        <w:tab w:val="right" w:pos="9360"/>
      </w:tabs>
    </w:pPr>
  </w:style>
  <w:style w:type="character" w:customStyle="1" w:styleId="FooterChar">
    <w:name w:val="Footer Char"/>
    <w:basedOn w:val="DefaultParagraphFont"/>
    <w:link w:val="Footer"/>
    <w:uiPriority w:val="99"/>
    <w:rsid w:val="006738A6"/>
  </w:style>
  <w:style w:type="paragraph" w:styleId="BalloonText">
    <w:name w:val="Balloon Text"/>
    <w:basedOn w:val="Normal"/>
    <w:link w:val="BalloonTextChar"/>
    <w:uiPriority w:val="99"/>
    <w:semiHidden/>
    <w:unhideWhenUsed/>
    <w:rsid w:val="006738A6"/>
    <w:rPr>
      <w:rFonts w:ascii="Tahoma" w:hAnsi="Tahoma" w:cs="Tahoma"/>
      <w:sz w:val="16"/>
      <w:szCs w:val="16"/>
    </w:rPr>
  </w:style>
  <w:style w:type="character" w:customStyle="1" w:styleId="BalloonTextChar">
    <w:name w:val="Balloon Text Char"/>
    <w:basedOn w:val="DefaultParagraphFont"/>
    <w:link w:val="BalloonText"/>
    <w:uiPriority w:val="99"/>
    <w:semiHidden/>
    <w:rsid w:val="006738A6"/>
    <w:rPr>
      <w:rFonts w:ascii="Tahoma" w:hAnsi="Tahoma" w:cs="Tahoma"/>
      <w:sz w:val="16"/>
      <w:szCs w:val="16"/>
    </w:rPr>
  </w:style>
  <w:style w:type="character" w:styleId="Hyperlink">
    <w:name w:val="Hyperlink"/>
    <w:uiPriority w:val="99"/>
    <w:unhideWhenUsed/>
    <w:rsid w:val="000A4C81"/>
    <w:rPr>
      <w:color w:val="0000FF"/>
      <w:u w:val="single"/>
    </w:rPr>
  </w:style>
  <w:style w:type="table" w:styleId="TableGrid">
    <w:name w:val="Table Grid"/>
    <w:basedOn w:val="TableNormal"/>
    <w:rsid w:val="000A4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475D"/>
    <w:pPr>
      <w:ind w:left="720"/>
      <w:contextualSpacing/>
    </w:pPr>
  </w:style>
  <w:style w:type="character" w:customStyle="1" w:styleId="Heading1Char">
    <w:name w:val="Heading 1 Char"/>
    <w:aliases w:val="Document Title Char"/>
    <w:basedOn w:val="DefaultParagraphFont"/>
    <w:link w:val="Heading1"/>
    <w:uiPriority w:val="9"/>
    <w:rsid w:val="002932D8"/>
    <w:rPr>
      <w:rFonts w:eastAsiaTheme="majorEastAsia" w:cstheme="majorBidi"/>
      <w:b/>
      <w:bCs/>
      <w:color w:val="0B9444"/>
      <w:sz w:val="40"/>
      <w:szCs w:val="28"/>
    </w:rPr>
  </w:style>
  <w:style w:type="character" w:customStyle="1" w:styleId="Heading2Char">
    <w:name w:val="Heading 2 Char"/>
    <w:aliases w:val="Heading Char"/>
    <w:basedOn w:val="DefaultParagraphFont"/>
    <w:link w:val="Heading2"/>
    <w:uiPriority w:val="9"/>
    <w:rsid w:val="002932D8"/>
    <w:rPr>
      <w:rFonts w:eastAsiaTheme="majorEastAsia" w:cstheme="majorBidi"/>
      <w:b/>
      <w:bCs/>
      <w:color w:val="0B9444"/>
      <w:sz w:val="24"/>
      <w:szCs w:val="26"/>
    </w:rPr>
  </w:style>
  <w:style w:type="character" w:styleId="Strong">
    <w:name w:val="Strong"/>
    <w:basedOn w:val="DefaultParagraphFont"/>
    <w:uiPriority w:val="22"/>
    <w:qFormat/>
    <w:rsid w:val="00416613"/>
    <w:rPr>
      <w:rFonts w:ascii="Calibri" w:hAnsi="Calibri" w:cstheme="minorHAnsi"/>
      <w:b/>
      <w:i w:val="0"/>
      <w:color w:val="1A74BB"/>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mail.com" TargetMode="External"/><Relationship Id="rId12" Type="http://schemas.openxmlformats.org/officeDocument/2006/relationships/hyperlink" Target="http://www.hotmail.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olomonbusinessregistry.gov.sb" TargetMode="External"/><Relationship Id="rId10" Type="http://schemas.openxmlformats.org/officeDocument/2006/relationships/hyperlink" Target="http://www.solomonbusinessregistry.gov.s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FAFCC-D1E4-C64C-8995-FB72BD79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944</Words>
  <Characters>5386</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Asian Development Bank</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Aaron Levine</cp:lastModifiedBy>
  <cp:revision>9</cp:revision>
  <dcterms:created xsi:type="dcterms:W3CDTF">2016-11-21T01:08:00Z</dcterms:created>
  <dcterms:modified xsi:type="dcterms:W3CDTF">2016-11-21T07:45:00Z</dcterms:modified>
</cp:coreProperties>
</file>